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附件</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val="zh-CN"/>
        </w:rPr>
      </w:pPr>
      <w:bookmarkStart w:id="0" w:name="_GoBack"/>
      <w:r>
        <w:rPr>
          <w:rFonts w:hint="eastAsia" w:ascii="方正小标宋简体" w:hAnsi="方正小标宋简体" w:eastAsia="方正小标宋简体" w:cs="方正小标宋简体"/>
          <w:kern w:val="0"/>
          <w:sz w:val="44"/>
          <w:szCs w:val="44"/>
          <w:lang w:val="zh-CN"/>
        </w:rPr>
        <w:t>广东省纺织面料产品质量监督抽查实施细则</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Courier New" w:eastAsia="方正小标宋简体" w:cs="Courier New"/>
          <w:bCs/>
          <w:sz w:val="44"/>
          <w:szCs w:val="44"/>
        </w:rPr>
      </w:pP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一、抽样方法</w:t>
      </w:r>
    </w:p>
    <w:p>
      <w:pPr>
        <w:spacing w:line="60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以随机抽样的方式在被抽样生产者、销售者的待销产品中抽取。随机数一般可使用随机数表等方法产生。</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kern w:val="0"/>
          <w:sz w:val="32"/>
          <w:szCs w:val="32"/>
        </w:rPr>
        <w:t>每批次产品抽取样品2组，每组样品1米。其中</w:t>
      </w:r>
      <w:r>
        <w:rPr>
          <w:rFonts w:hint="default" w:ascii="Times New Roman" w:hAnsi="Times New Roman" w:cs="Times New Roman"/>
          <w:kern w:val="0"/>
          <w:sz w:val="32"/>
          <w:szCs w:val="32"/>
          <w:lang w:eastAsia="zh-CN"/>
        </w:rPr>
        <w:t>，</w:t>
      </w:r>
      <w:r>
        <w:rPr>
          <w:rFonts w:hint="default" w:ascii="Times New Roman" w:hAnsi="Times New Roman" w:cs="Times New Roman"/>
          <w:kern w:val="0"/>
          <w:sz w:val="32"/>
          <w:szCs w:val="32"/>
        </w:rPr>
        <w:t>1组作为检验样品，1组作为备用样品。</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二、主要检验项目及检验项目属性划分</w:t>
      </w:r>
    </w:p>
    <w:tbl>
      <w:tblPr>
        <w:tblStyle w:val="4"/>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88"/>
        <w:gridCol w:w="2784"/>
        <w:gridCol w:w="2430"/>
        <w:gridCol w:w="643"/>
        <w:gridCol w:w="643"/>
        <w:gridCol w:w="643"/>
        <w:gridCol w:w="643"/>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23" w:hRule="atLeast"/>
          <w:tblHeader/>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序号</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检验项目</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检验方法</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强制性</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非强制性</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重要项</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较重要项</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spacing w:line="260" w:lineRule="exact"/>
              <w:jc w:val="center"/>
              <w:rPr>
                <w:rFonts w:hint="default" w:ascii="Times New Roman" w:hAnsi="Times New Roman" w:cs="Times New Roman"/>
                <w:b/>
                <w:bCs/>
                <w:sz w:val="24"/>
              </w:rPr>
            </w:pPr>
            <w:r>
              <w:rPr>
                <w:rFonts w:hint="default" w:ascii="Times New Roman" w:hAnsi="Times New Roman" w:cs="Times New Roman"/>
                <w:b/>
                <w:bCs/>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1</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甲醛含量</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2912.1-2009</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2</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pH值</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7573-2009</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3</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可分解致癌芳香胺染料</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400" w:lineRule="exact"/>
              <w:jc w:val="center"/>
              <w:rPr>
                <w:rFonts w:hint="default" w:ascii="Times New Roman" w:hAnsi="Times New Roman" w:cs="Times New Roman"/>
                <w:sz w:val="24"/>
              </w:rPr>
            </w:pPr>
            <w:r>
              <w:rPr>
                <w:rFonts w:hint="default" w:ascii="Times New Roman" w:hAnsi="Times New Roman" w:cs="Times New Roman"/>
                <w:sz w:val="24"/>
              </w:rPr>
              <w:t>GB/T 17592-2011</w:t>
            </w:r>
          </w:p>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23344-2009</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4</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耐水色牢度</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5713-2013</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5</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耐酸汗渍色牢度</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3922-2013</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6</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耐碱汗渍色牢度</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3922-2013</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7</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耐干摩擦色牢度</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3920-2008</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widowControl/>
              <w:tabs>
                <w:tab w:val="left" w:pos="310"/>
              </w:tabs>
              <w:spacing w:line="400" w:lineRule="exact"/>
              <w:ind w:firstLine="0" w:firstLineChars="0"/>
              <w:jc w:val="center"/>
              <w:rPr>
                <w:rFonts w:hint="default" w:ascii="Times New Roman" w:hAnsi="Times New Roman" w:cs="Times New Roman"/>
                <w:sz w:val="24"/>
              </w:rPr>
            </w:pPr>
            <w:r>
              <w:rPr>
                <w:rFonts w:hint="default" w:ascii="Times New Roman" w:hAnsi="Times New Roman" w:cs="Times New Roman"/>
                <w:sz w:val="24"/>
              </w:rPr>
              <w:t>8</w:t>
            </w:r>
          </w:p>
        </w:tc>
        <w:tc>
          <w:tcPr>
            <w:tcW w:w="27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耐湿摩擦色牢度</w:t>
            </w:r>
          </w:p>
        </w:tc>
        <w:tc>
          <w:tcPr>
            <w:tcW w:w="24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00" w:lineRule="exact"/>
              <w:jc w:val="center"/>
              <w:rPr>
                <w:rFonts w:hint="default" w:ascii="Times New Roman" w:hAnsi="Times New Roman" w:cs="Times New Roman"/>
                <w:spacing w:val="-6"/>
                <w:sz w:val="24"/>
              </w:rPr>
            </w:pPr>
            <w:r>
              <w:rPr>
                <w:rFonts w:hint="default" w:ascii="Times New Roman" w:hAnsi="Times New Roman" w:cs="Times New Roman"/>
                <w:sz w:val="24"/>
              </w:rPr>
              <w:t>GB/T 3920-2008</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6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adjustRightInd w:val="0"/>
              <w:snapToGrid w:val="0"/>
              <w:spacing w:line="400" w:lineRule="exact"/>
              <w:jc w:val="center"/>
              <w:rPr>
                <w:rFonts w:hint="default" w:ascii="Times New Roman" w:hAnsi="Times New Roman" w:cs="Times New Roman"/>
                <w:sz w:val="24"/>
              </w:rPr>
            </w:pPr>
          </w:p>
        </w:tc>
      </w:tr>
    </w:tbl>
    <w:p>
      <w:pPr>
        <w:widowControl/>
        <w:snapToGrid w:val="0"/>
        <w:spacing w:line="400" w:lineRule="exact"/>
        <w:jc w:val="left"/>
        <w:rPr>
          <w:rFonts w:hint="default" w:ascii="Times New Roman" w:hAnsi="Times New Roman" w:cs="Times New Roman"/>
          <w:color w:val="000000"/>
          <w:sz w:val="24"/>
        </w:rPr>
      </w:pPr>
      <w:r>
        <w:rPr>
          <w:rFonts w:hint="default" w:ascii="Times New Roman" w:hAnsi="Times New Roman" w:cs="Times New Roman"/>
          <w:color w:val="000000"/>
          <w:sz w:val="24"/>
        </w:rPr>
        <w:t>备注：</w:t>
      </w:r>
    </w:p>
    <w:p>
      <w:pPr>
        <w:widowControl/>
        <w:snapToGrid w:val="0"/>
        <w:spacing w:line="40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1.本色及漂白产品不考核色牢度、可分解致癌芳香胺染料。</w:t>
      </w:r>
    </w:p>
    <w:p>
      <w:pPr>
        <w:widowControl/>
        <w:snapToGrid w:val="0"/>
        <w:spacing w:line="40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2.色牢度采用单纤维贴衬。</w:t>
      </w:r>
    </w:p>
    <w:p>
      <w:pPr>
        <w:widowControl/>
        <w:snapToGrid w:val="0"/>
        <w:spacing w:line="40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3.pH值的测定用0.1 mol/L 氯化钾溶液作为萃取介质。</w:t>
      </w:r>
    </w:p>
    <w:p>
      <w:pPr>
        <w:widowControl/>
        <w:snapToGrid w:val="0"/>
        <w:spacing w:line="400" w:lineRule="exact"/>
        <w:ind w:firstLine="480" w:firstLineChars="200"/>
        <w:jc w:val="left"/>
        <w:rPr>
          <w:rFonts w:hint="default" w:ascii="Times New Roman" w:hAnsi="Times New Roman" w:cs="Times New Roman"/>
          <w:color w:val="000000"/>
          <w:sz w:val="24"/>
        </w:rPr>
      </w:pPr>
      <w:r>
        <w:rPr>
          <w:rFonts w:hint="default" w:ascii="Times New Roman" w:hAnsi="Times New Roman" w:cs="Times New Roman"/>
          <w:color w:val="000000"/>
          <w:sz w:val="24"/>
        </w:rPr>
        <w:t>4．安全类别按产品实际用途确定，对不能确认产品类别的按GB 18401-2010 C类考核。</w:t>
      </w:r>
    </w:p>
    <w:p>
      <w:pPr>
        <w:spacing w:line="600" w:lineRule="exact"/>
        <w:ind w:firstLine="707" w:firstLineChars="221"/>
        <w:rPr>
          <w:rFonts w:ascii="Times New Roman" w:hAnsi="Times New Roman" w:eastAsia="黑体" w:cs="Times New Roman"/>
          <w:sz w:val="32"/>
          <w:szCs w:val="32"/>
        </w:rPr>
      </w:pPr>
      <w:r>
        <w:rPr>
          <w:rFonts w:hint="eastAsia" w:ascii="Times New Roman" w:hAnsi="Times New Roman" w:eastAsia="黑体" w:cs="Times New Roman"/>
          <w:sz w:val="32"/>
          <w:szCs w:val="32"/>
        </w:rPr>
        <w:t>三、判定规则</w:t>
      </w:r>
    </w:p>
    <w:p>
      <w:pPr>
        <w:keepNext w:val="0"/>
        <w:keepLines w:val="0"/>
        <w:pageBreakBefore w:val="0"/>
        <w:widowControl w:val="0"/>
        <w:kinsoku/>
        <w:wordWrap/>
        <w:overflowPunct/>
        <w:topLinePunct w:val="0"/>
        <w:bidi w:val="0"/>
        <w:adjustRightInd/>
        <w:snapToGrid/>
        <w:spacing w:line="560" w:lineRule="exact"/>
        <w:ind w:firstLine="566" w:firstLineChars="177"/>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（一）依据标准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GB 18401-2010《国家纺织产品基本安全技术规范》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GB 31701-2015《婴幼儿及儿童纺织产品安全技术规范》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3920-2008《纺织品色牢度试验耐摩擦色牢度》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3922-2013《纺织品色牢度试验耐汗渍色牢度》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5713-2013《纺织品色牢度试验耐水色牢度》</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7573-2009《纺织品水萃取液pH值的测定》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2912.1-2009《纺织品甲醛的测定第1部分:游离和水解的甲醛(水萃取法)》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17592-2011《纺织品禁用偶氮染料的测定》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GB/T 23344-2009《纺织品 4-氨基偶氮苯的测定》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相关的法律法规、部门规章和规范、现行有效的企业标准、团体标准、地方标准及产品明示质量要求。</w:t>
      </w:r>
    </w:p>
    <w:p>
      <w:pPr>
        <w:keepNext w:val="0"/>
        <w:keepLines w:val="0"/>
        <w:pageBreakBefore w:val="0"/>
        <w:widowControl w:val="0"/>
        <w:kinsoku/>
        <w:wordWrap/>
        <w:overflowPunct/>
        <w:topLinePunct w:val="0"/>
        <w:bidi w:val="0"/>
        <w:adjustRightInd/>
        <w:snapToGrid/>
        <w:spacing w:line="560" w:lineRule="exact"/>
        <w:ind w:firstLine="425" w:firstLineChars="133"/>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（二）判定原则</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当被检样品未能提供有效的企业标准时，按相关国家或行业标准进行判定；</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按照产品质量相关法律法规的规定判定。</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pPr>
        <w:rPr>
          <w:b/>
          <w:bCs/>
        </w:rPr>
      </w:pP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E49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jc w:val="center"/>
      <w:outlineLvl w:val="0"/>
    </w:pPr>
    <w:rPr>
      <w:rFonts w:ascii="方正小标宋简体" w:eastAsia="方正小标宋简体"/>
      <w:kern w:val="44"/>
      <w:sz w:val="3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列出段落2"/>
    <w:qFormat/>
    <w:uiPriority w:val="0"/>
    <w:pPr>
      <w:widowControl w:val="0"/>
      <w:ind w:firstLine="420" w:firstLineChars="20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2022-11-21T06:29:14Z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